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2012 262 vom 13. Januar 2003</w:t>
      </w:r>
    </w:p>
    <w:p>
      <w:r>
        <w:t>BL Gerichte, 2003-01-13, DE</w:t>
      </w:r>
    </w:p>
    <w:p>
      <w:r>
        <w:rPr>
          <w:b/>
        </w:rPr>
        <w:t xml:space="preserve">Quelle: </w:t>
      </w:r>
      <w:r>
        <w:t>https://mcp.opencaselaw.ch/entscheid/bl_gerichte_810 2012 262</w:t>
      </w:r>
    </w:p>
    <w:p>
      <w:r>
        <w:t>FR: BL_GERICHTE 810 2012 262 du 13 janvier 2003</w:t>
      </w:r>
    </w:p>
    <w:p>
      <w:r>
        <w:t>IT: BL_GERICHTE 810 2012 262 del 13 gennaio 2003</w:t>
      </w:r>
    </w:p>
    <w:p>
      <w:pPr>
        <w:pStyle w:val="Heading2"/>
      </w:pPr>
      <w:r>
        <w:t>Regeste</w:t>
      </w:r>
    </w:p>
    <w:p>
      <w:r>
        <w:t>Nichtverlängerung der Aufenthaltsbewilligung und Wegweisung (RRB Nr. 1298 vom 21. August 2012)</w:t>
      </w:r>
    </w:p>
    <w:p>
      <w:pPr>
        <w:pStyle w:val="Heading2"/>
      </w:pPr>
      <w:r>
        <w:t>Erwägungen</w:t>
      </w:r>
    </w:p>
    <w:p>
      <w:r>
        <w:rPr>
          <w:b/>
        </w:rPr>
        <w:t>E. 1</w:t>
      </w:r>
    </w:p>
    <w:p>
      <w:r>
        <w:t>Gemäss § 47 Abs. 1 lit. a des Gesetzes über die Verfassungs- und Verwaltungsprozessordnung (VPO) vom 16. Dezember 1993 ist zur Beschwerde befugt, wer durch die angefochtene Verfügung oder den angefochtenen Entscheid berührt ist und ein schutzwürdiges Interesse an dessen Änderung oder Aufhebung hat. Da der Beschwerdeführer Adressat des angefochtenen Entscheids ist und ein schutzwürdiges Interesse an dessen Aufhebung hat, die übrigen formellen Voraussetzungen erfüllt sind und die Zuständigkeit des Kantonsgerichts sowohl örtlich als auch sachlich gegeben ist, kann auf die vorliegende Beschwerde eingetreten werden.</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dagegen ist dem Kantonsgericht verwehrt (§ 45 Abs. 1 lit. c VPO e contrario). 3.1 Eine ausländische Person ist zur Anwesenheit in der Schweiz nur berechtigt, wenn sie eine Aufenthalts- oder Niederlassungsbewilligung besitzt oder wenn sie keiner solchen bedarf (Art. 10 und 11 AuG; vgl. auch Art. 2 AuG). Die zuständige kantonale Behörde entscheidet gemäss Art. 18 ff. und 27 ff. AuG – im Rahmen der gesetzlichen Vorschriften und Verträge mit dem Ausland – nach freiem Ermessen über die Zulassung zu einem Aufenthalt mit oder ohne Erwerbstätigkeit. Sie kann Ausländerinnen und Ausländer zur Ausübung einer unselbstständigen Erwerbstätigkeit zulassen, wenn dies dem gesamtwirtschaftlichen Interesse entspricht, das Gesuch eines Arbeitgebers vorliegt und die Voraussetzungen von Art. 20 bis Art. 25 AuG erfüllt sind (Art. 18 AuG). Dabei hat sie insbesondere den Vorrang inländischer Arbeitskräfte (Art. 21 AuG) sowie die berufliche und soziale Anpassungsfähigkeit (Art. 23 Abs. 2 AuG) zu berücksichtigen (vgl. auch Art. 3 und Art. 96 Abs. 1 AuG). Einen Rechtsanspruch auf die Erteilung einer Aufenthaltsbewilligung hat die ausländische Person somit grundsätzlich nicht, es sei denn, das AuG oder völkerrechtliche Verpflichtungen sehen dies vor (BGE 133 I 189 E. 2.3; Marc Spescha in: Spescha/Thür/Zünd/Bolzli, Kommentar Migrationsrecht, 3. Auflage, Zürich 2012, N 1 ff. zu Art. 3 AuG; Peter Uebersax in: Uebersax/Rudin/Hugi Yar/Geiser, Ausländerrecht, Eine umfassende Darstellung der Rechtsstellung von Ausländerinnen und Ausländern in der Schweiz, 2. Auflage, Basel 2009, N 7.84 ff.). 3.2 Einen gesetzlichen Anspruch auf Erteilung und Verlängerung einer Aufenthaltsbewilligung hat eine ausländische Person gemäss Art. 42 Abs. 1 AuG namentlich dann, wenn sie mit einer Schweizerin oder einem Schweizer verheiratet ist und mit ihrem Ehegatten zusammenwohnt. Das Erfordernis des Zusammenwohnens besteht nicht, wenn für getrennte Wohnorte wichtige Gründe geltend gemacht werden und die Familiengemeinschaft weiter besteht (Art. 49 AuG). Als wichtige Gründe gelten gemäss Art. 76 der Verordnung über Zulassung, Aufenthalt und Erwerbstätigkeit (VZAE) vom 24. Oktober 2007 berufliche Verpflichtungen oder eine vorübergehende Trennung wegen erheblicher familiärer Probleme. Nach Auflösung der Familiengemeinschaft besteht der Anspruch des Ehegatten auf Erteilung und Verlängerung der Aufenthaltsbewilligung nach Art. 50 Abs. 1 AuG ausserdem weiter, wenn die Ehegemeinschaft mindestens drei Jahre bestanden hat und eine erfolgreiche Integration vorliegt (lit. a) oder wenn wichtige persönliche Gründe einen weiteren Aufenthalt in der Schweiz erforderlich machen (lit. b). Art. 50 AuG kommt erst zur Anwendung, wenn mindestens faktisch von einer definitiven Auflösung der Familiengemeinschaft auszugehen ist. Diese ist im Regelfall gegeben, wenn sich die Eheleute definitiv getrennt haben und keine ernsthafte Aussicht mehr besteht, dass sie sich wieder vereinigen könnten, wobei zusätzlich der Ehewille erloschen erscheinen muss.</w:t>
      </w:r>
    </w:p>
    <w:p>
      <w:r>
        <w:rPr>
          <w:b/>
        </w:rPr>
        <w:t>E. 4</w:t>
      </w:r>
    </w:p>
    <w:p>
      <w:r>
        <w:t>Die Parteikosten werden wettgeschlagen. Präsidentin Gerichtsschreiberin i.V. Gegen diesen Entscheid wurde am 20. Juni 2013 Beschwerde beim Bundesgericht (Verfahrensnummer 2C_575/2013)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